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C" w:rsidRPr="00A732AC" w:rsidRDefault="00923DE2" w:rsidP="003122CC">
      <w:pPr>
        <w:pStyle w:val="a6"/>
        <w:rPr>
          <w:sz w:val="24"/>
          <w:szCs w:val="24"/>
        </w:rPr>
      </w:pPr>
      <w:r w:rsidRPr="00923DE2">
        <w:rPr>
          <w:bCs/>
          <w:szCs w:val="28"/>
        </w:rPr>
        <w:t> </w:t>
      </w:r>
      <w:r w:rsidR="003122CC" w:rsidRPr="00A732AC">
        <w:rPr>
          <w:sz w:val="24"/>
          <w:szCs w:val="24"/>
        </w:rPr>
        <w:t>Контрольно-счетный орган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Троицкого района Алтайского края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ЗАКЛЮЧЕНИЕ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на проект решения</w:t>
      </w:r>
      <w:r w:rsidR="004A3262">
        <w:rPr>
          <w:sz w:val="24"/>
          <w:szCs w:val="24"/>
        </w:rPr>
        <w:t xml:space="preserve"> Троицкого районного Совета депутатов </w:t>
      </w:r>
      <w:r w:rsidRPr="00A732AC">
        <w:rPr>
          <w:sz w:val="24"/>
          <w:szCs w:val="24"/>
        </w:rPr>
        <w:t xml:space="preserve"> «О</w:t>
      </w:r>
      <w:r w:rsidR="004A3262">
        <w:rPr>
          <w:sz w:val="24"/>
          <w:szCs w:val="24"/>
        </w:rPr>
        <w:t xml:space="preserve"> внесении изменений в решение районного Совета депутатов</w:t>
      </w:r>
      <w:r w:rsidR="000B682E">
        <w:rPr>
          <w:sz w:val="24"/>
          <w:szCs w:val="24"/>
        </w:rPr>
        <w:t xml:space="preserve"> от 2</w:t>
      </w:r>
      <w:r w:rsidR="001C68AA">
        <w:rPr>
          <w:sz w:val="24"/>
          <w:szCs w:val="24"/>
        </w:rPr>
        <w:t>3</w:t>
      </w:r>
      <w:r w:rsidR="000B682E">
        <w:rPr>
          <w:sz w:val="24"/>
          <w:szCs w:val="24"/>
        </w:rPr>
        <w:t xml:space="preserve"> декабря 20</w:t>
      </w:r>
      <w:r w:rsidR="001C68AA">
        <w:rPr>
          <w:sz w:val="24"/>
          <w:szCs w:val="24"/>
        </w:rPr>
        <w:t>20</w:t>
      </w:r>
      <w:r w:rsidR="000B682E">
        <w:rPr>
          <w:sz w:val="24"/>
          <w:szCs w:val="24"/>
        </w:rPr>
        <w:t xml:space="preserve"> года №7</w:t>
      </w:r>
      <w:r w:rsidR="001C68AA">
        <w:rPr>
          <w:sz w:val="24"/>
          <w:szCs w:val="24"/>
        </w:rPr>
        <w:t>4</w:t>
      </w:r>
      <w:r w:rsidR="004A3262">
        <w:rPr>
          <w:sz w:val="24"/>
          <w:szCs w:val="24"/>
        </w:rPr>
        <w:t xml:space="preserve"> «О районном бюджете муниципального образования Троицкий район Алтайского края </w:t>
      </w:r>
      <w:r w:rsidRPr="00A732AC">
        <w:rPr>
          <w:sz w:val="24"/>
          <w:szCs w:val="24"/>
        </w:rPr>
        <w:t>на 202</w:t>
      </w:r>
      <w:r w:rsidR="001C68AA">
        <w:rPr>
          <w:sz w:val="24"/>
          <w:szCs w:val="24"/>
        </w:rPr>
        <w:t>1</w:t>
      </w:r>
      <w:r w:rsidRPr="00A732AC">
        <w:rPr>
          <w:sz w:val="24"/>
          <w:szCs w:val="24"/>
        </w:rPr>
        <w:t xml:space="preserve"> и плановый период 202</w:t>
      </w:r>
      <w:r w:rsidR="001C68AA">
        <w:rPr>
          <w:sz w:val="24"/>
          <w:szCs w:val="24"/>
        </w:rPr>
        <w:t>2</w:t>
      </w:r>
      <w:r w:rsidRPr="00A732AC">
        <w:rPr>
          <w:sz w:val="24"/>
          <w:szCs w:val="24"/>
        </w:rPr>
        <w:t xml:space="preserve"> и 202</w:t>
      </w:r>
      <w:r w:rsidR="001C68AA">
        <w:rPr>
          <w:sz w:val="24"/>
          <w:szCs w:val="24"/>
        </w:rPr>
        <w:t>3</w:t>
      </w:r>
      <w:r w:rsidRPr="00A732AC">
        <w:rPr>
          <w:sz w:val="24"/>
          <w:szCs w:val="24"/>
        </w:rPr>
        <w:t xml:space="preserve"> годов»</w:t>
      </w:r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</w:p>
    <w:p w:rsidR="00923DE2" w:rsidRPr="009709AF" w:rsidRDefault="00E82B97" w:rsidP="00923D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11446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923DE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A326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22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3DE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C563A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 </w:t>
      </w:r>
      <w:proofErr w:type="gramStart"/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proofErr w:type="gramEnd"/>
    </w:p>
    <w:p w:rsidR="00923DE2" w:rsidRPr="009709AF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субъектов Российской Федерации и муниципальных образований»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9 ч.2 п. 2)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 «О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жденного Решением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№24</w:t>
      </w:r>
      <w:r w:rsidR="00B6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(ст.7 ч.1 п. 2)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</w:t>
      </w:r>
      <w:proofErr w:type="gramStart"/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проекта решения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7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82483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депутатов 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20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06B" w:rsidRDefault="00BA606B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BFB" w:rsidRPr="009709AF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AD7BFB" w:rsidRPr="00587E08" w:rsidRDefault="001C68AA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районного Совета депутатов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муниципального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Троицкий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  <w:r w:rsidR="00AD7BFB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</w:t>
      </w:r>
      <w:r w:rsidR="009D6D19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  <w:r w:rsidR="00341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проект Решения), представлен на экспертизу в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7B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82B9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0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82B9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5594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DC628B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представлена пояснительная записка, все приложения к проекту соо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ветствуют Бюджетному Кодексу.</w:t>
      </w:r>
      <w:r w:rsidR="00DC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DC628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 проектом Решения предлагается изменить основные характер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бюджета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плановый период 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 том числе:</w:t>
      </w:r>
    </w:p>
    <w:p w:rsidR="00AD7BFB" w:rsidRPr="009709AF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976"/>
        <w:gridCol w:w="1701"/>
        <w:gridCol w:w="1418"/>
      </w:tblGrid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FF67E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="0094426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="00FF67E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FF67E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FF67E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FF67E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FF67E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41082" w:rsidP="004C3F3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E82B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10 468,</w:t>
            </w:r>
            <w:r w:rsidR="004C3F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FF67E0" w:rsidP="00E82B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E82B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6 958,1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944266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944266" w:rsidP="009442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E82B97" w:rsidP="00E82B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-3 510,1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CB5D6B" w:rsidRDefault="00CB5D6B" w:rsidP="00AD7B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FB" w:rsidRPr="009709AF" w:rsidRDefault="00AD7BFB" w:rsidP="00AD7BF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ут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доходами Решением РСД от </w:t>
      </w:r>
      <w:r w:rsidR="00CE72E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2E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F45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E72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увеличиваются 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0C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2E7">
        <w:rPr>
          <w:rFonts w:ascii="Times New Roman" w:eastAsia="Times New Roman" w:hAnsi="Times New Roman" w:cs="Times New Roman"/>
          <w:sz w:val="24"/>
          <w:szCs w:val="24"/>
          <w:lang w:eastAsia="ru-RU"/>
        </w:rPr>
        <w:t>10 468,2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CE72E7">
        <w:rPr>
          <w:rFonts w:ascii="Times New Roman" w:eastAsia="Times New Roman" w:hAnsi="Times New Roman" w:cs="Times New Roman"/>
          <w:sz w:val="24"/>
          <w:szCs w:val="24"/>
          <w:lang w:eastAsia="ru-RU"/>
        </w:rPr>
        <w:t>2,08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ставят </w:t>
      </w:r>
      <w:r w:rsidR="00CE72E7">
        <w:rPr>
          <w:rFonts w:ascii="Times New Roman" w:eastAsia="Times New Roman" w:hAnsi="Times New Roman" w:cs="Times New Roman"/>
          <w:sz w:val="24"/>
          <w:szCs w:val="24"/>
          <w:lang w:eastAsia="ru-RU"/>
        </w:rPr>
        <w:t>514 711,1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6F8" w:rsidRPr="009709AF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- расходы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1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увеличиваются на сумму </w:t>
      </w:r>
      <w:r w:rsidR="00CE72E7">
        <w:rPr>
          <w:rFonts w:ascii="Times New Roman" w:eastAsia="Times New Roman" w:hAnsi="Times New Roman" w:cs="Times New Roman"/>
          <w:sz w:val="24"/>
          <w:szCs w:val="24"/>
          <w:lang w:eastAsia="ru-RU"/>
        </w:rPr>
        <w:t>6 958,1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</w:t>
      </w:r>
      <w:r w:rsidR="005D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2E7">
        <w:rPr>
          <w:rFonts w:ascii="Times New Roman" w:eastAsia="Times New Roman" w:hAnsi="Times New Roman" w:cs="Times New Roman"/>
          <w:sz w:val="24"/>
          <w:szCs w:val="24"/>
          <w:lang w:eastAsia="ru-RU"/>
        </w:rPr>
        <w:t>1,35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1146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72E7">
        <w:rPr>
          <w:rFonts w:ascii="Times New Roman" w:eastAsia="Times New Roman" w:hAnsi="Times New Roman" w:cs="Times New Roman"/>
          <w:sz w:val="24"/>
          <w:szCs w:val="24"/>
          <w:lang w:eastAsia="ru-RU"/>
        </w:rPr>
        <w:t>22 756,2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дефицит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сократится</w:t>
      </w:r>
      <w:r w:rsidR="00B9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E72E7">
        <w:rPr>
          <w:rFonts w:ascii="Times New Roman" w:eastAsia="Times New Roman" w:hAnsi="Times New Roman" w:cs="Times New Roman"/>
          <w:sz w:val="24"/>
          <w:szCs w:val="24"/>
          <w:lang w:eastAsia="ru-RU"/>
        </w:rPr>
        <w:t>3 510,1</w:t>
      </w:r>
      <w:r w:rsidR="00B9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составит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2E7">
        <w:rPr>
          <w:rFonts w:ascii="Times New Roman" w:eastAsia="Times New Roman" w:hAnsi="Times New Roman" w:cs="Times New Roman"/>
          <w:sz w:val="24"/>
          <w:szCs w:val="24"/>
          <w:lang w:eastAsia="ru-RU"/>
        </w:rPr>
        <w:t>8 045,1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25" w:rsidRPr="009709AF" w:rsidRDefault="003E7125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основные характеристик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7F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планового п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риода 202</w:t>
      </w:r>
      <w:r w:rsidR="00367F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67F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таблице: </w:t>
      </w:r>
    </w:p>
    <w:p w:rsidR="00AD7BFB" w:rsidRPr="006C7EEE" w:rsidRDefault="00AD7BFB" w:rsidP="00AD7BF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8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835"/>
        <w:gridCol w:w="1559"/>
        <w:gridCol w:w="1559"/>
      </w:tblGrid>
      <w:tr w:rsidR="00454379" w:rsidRPr="00AD7BFB" w:rsidTr="00412D1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367F9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  <w:r w:rsidR="00D06E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="00367F9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367F9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367F9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367F9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367F9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012D56" w:rsidP="00AD1B6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514 711,1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680D00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460 546,6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680D00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438 418,6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615" w:rsidRPr="00606EC7" w:rsidRDefault="00365615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15" w:rsidRPr="00606EC7" w:rsidRDefault="00012D56" w:rsidP="00C045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522 756,2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680D00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467 695,5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680D00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446 544,7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012D56" w:rsidP="0011462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-8 045,1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680D00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-7 148,9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680D00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-8 126,1</w:t>
            </w:r>
          </w:p>
        </w:tc>
      </w:tr>
    </w:tbl>
    <w:p w:rsidR="00DF7F53" w:rsidRDefault="00DF7F53" w:rsidP="006C7E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B11" w:rsidRPr="00AC7B1F" w:rsidRDefault="00843D8C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д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оход</w:t>
      </w:r>
      <w:r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бюджета на 20</w:t>
      </w:r>
      <w:r w:rsidR="00DF7F53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80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680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680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3F0954" w:rsidRDefault="00FD2031" w:rsidP="002B0C3A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D2031">
        <w:rPr>
          <w:rFonts w:ascii="Times New Roman" w:hAnsi="Times New Roman"/>
          <w:b/>
          <w:bCs/>
          <w:sz w:val="24"/>
          <w:szCs w:val="24"/>
        </w:rPr>
        <w:t xml:space="preserve">Собственные доходы </w:t>
      </w:r>
      <w:r w:rsidRPr="00FD2031">
        <w:rPr>
          <w:rFonts w:ascii="Times New Roman" w:hAnsi="Times New Roman"/>
          <w:bCs/>
          <w:sz w:val="24"/>
          <w:szCs w:val="24"/>
        </w:rPr>
        <w:t>(налоговые доходы, неналоговые доходы)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63230">
        <w:rPr>
          <w:rFonts w:ascii="Times New Roman" w:hAnsi="Times New Roman"/>
          <w:bCs/>
          <w:sz w:val="24"/>
          <w:szCs w:val="24"/>
        </w:rPr>
        <w:t>в 202</w:t>
      </w:r>
      <w:r w:rsidR="00680D00">
        <w:rPr>
          <w:rFonts w:ascii="Times New Roman" w:hAnsi="Times New Roman"/>
          <w:bCs/>
          <w:sz w:val="24"/>
          <w:szCs w:val="24"/>
        </w:rPr>
        <w:t>1</w:t>
      </w:r>
      <w:r w:rsidR="00763230">
        <w:rPr>
          <w:rFonts w:ascii="Times New Roman" w:hAnsi="Times New Roman"/>
          <w:bCs/>
          <w:sz w:val="24"/>
          <w:szCs w:val="24"/>
        </w:rPr>
        <w:t xml:space="preserve"> году </w:t>
      </w:r>
      <w:r w:rsidR="00122C18">
        <w:rPr>
          <w:rFonts w:ascii="Times New Roman" w:hAnsi="Times New Roman"/>
          <w:bCs/>
          <w:sz w:val="24"/>
          <w:szCs w:val="24"/>
        </w:rPr>
        <w:t xml:space="preserve">вырастут на </w:t>
      </w:r>
      <w:r w:rsidR="003F0954">
        <w:rPr>
          <w:rFonts w:ascii="Times New Roman" w:hAnsi="Times New Roman"/>
          <w:bCs/>
          <w:sz w:val="24"/>
          <w:szCs w:val="24"/>
        </w:rPr>
        <w:t>4 501</w:t>
      </w:r>
      <w:r w:rsidR="00122C18">
        <w:rPr>
          <w:rFonts w:ascii="Times New Roman" w:hAnsi="Times New Roman"/>
          <w:bCs/>
          <w:sz w:val="24"/>
          <w:szCs w:val="24"/>
        </w:rPr>
        <w:t>,0 тыс. рублей и составят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F0954">
        <w:rPr>
          <w:rFonts w:ascii="Times New Roman" w:hAnsi="Times New Roman"/>
          <w:bCs/>
          <w:sz w:val="24"/>
          <w:szCs w:val="24"/>
        </w:rPr>
        <w:t>142 316,4</w:t>
      </w:r>
      <w:r>
        <w:rPr>
          <w:rFonts w:ascii="Times New Roman" w:hAnsi="Times New Roman"/>
          <w:bCs/>
          <w:sz w:val="24"/>
          <w:szCs w:val="24"/>
        </w:rPr>
        <w:t xml:space="preserve"> тыс. рублей.</w:t>
      </w:r>
      <w:r w:rsidR="003F0954">
        <w:rPr>
          <w:rFonts w:ascii="Times New Roman" w:hAnsi="Times New Roman"/>
          <w:bCs/>
          <w:sz w:val="24"/>
          <w:szCs w:val="24"/>
        </w:rPr>
        <w:t xml:space="preserve"> Увеличения произойдут</w:t>
      </w:r>
      <w:r w:rsidR="003F0954">
        <w:rPr>
          <w:rFonts w:ascii="Times New Roman" w:hAnsi="Times New Roman"/>
          <w:bCs/>
          <w:sz w:val="24"/>
          <w:szCs w:val="24"/>
          <w:lang w:val="en-US"/>
        </w:rPr>
        <w:t>:</w:t>
      </w:r>
    </w:p>
    <w:p w:rsidR="002B0C3A" w:rsidRPr="003F0954" w:rsidRDefault="003F0954" w:rsidP="003F0954">
      <w:pPr>
        <w:pStyle w:val="a5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Единый сельскохозяйственный налог </w:t>
      </w:r>
      <w:r w:rsidRPr="003F09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+2 800,0 тыс. рублей;</w:t>
      </w:r>
    </w:p>
    <w:p w:rsidR="003F0954" w:rsidRPr="003F0954" w:rsidRDefault="003F0954" w:rsidP="003F095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Доход, взимаемый в связи с применением патентной системы налогооблож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ния </w:t>
      </w:r>
      <w:r w:rsidRPr="003F09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+1 600,0 тыс. рублей;</w:t>
      </w:r>
    </w:p>
    <w:p w:rsidR="003F0954" w:rsidRDefault="003F0954" w:rsidP="003F095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095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Плата за негативное воздействие на окружающую среду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+30,0 тыс. рублей</w:t>
      </w:r>
      <w:r w:rsidRPr="003F09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3F0954" w:rsidRDefault="003F0954" w:rsidP="003F095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Прочие доходы от оказания платных услуг </w:t>
      </w:r>
      <w:r w:rsidRPr="003F09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+0,5 тыс. рублей;</w:t>
      </w:r>
    </w:p>
    <w:p w:rsidR="003F0954" w:rsidRPr="003F0954" w:rsidRDefault="003F0954" w:rsidP="003F095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Прочие поступления </w:t>
      </w:r>
      <w:r w:rsidRPr="003F09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+70,0 тыс. рублей.</w:t>
      </w:r>
    </w:p>
    <w:p w:rsidR="00502314" w:rsidRDefault="00895B3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Безвозмездные поступления  от других бюджетов бюджетной системы Российской Федерации </w:t>
      </w:r>
      <w:r w:rsidR="00122C18" w:rsidRPr="00122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увеличатся</w:t>
      </w:r>
      <w:r w:rsidR="00DE69FC" w:rsidRPr="00122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F8E"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 w:rsidR="00763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80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91F8E"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E1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5 967,6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и составят </w:t>
      </w:r>
      <w:r w:rsidR="00AE1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372 394,7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лей </w:t>
      </w:r>
      <w:r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числе:</w:t>
      </w:r>
    </w:p>
    <w:p w:rsidR="00FF40B7" w:rsidRPr="00FF40B7" w:rsidRDefault="00FF40B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E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Дотации 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</w:t>
      </w:r>
      <w:r w:rsidR="00AE1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5 220,0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Pr="00FF4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F40B7" w:rsidRDefault="00FF40B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</w:t>
      </w:r>
      <w:r w:rsidR="00AE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убсидии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</w:t>
      </w:r>
      <w:r w:rsidR="00AE1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748,1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="00AE13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A15F1D" w:rsidRPr="00A15F1D" w:rsidRDefault="00AE1301" w:rsidP="00147E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15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A15F1D" w:rsidRPr="00A15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7E95" w:rsidRPr="00A15F1D" w:rsidRDefault="00A15F1D" w:rsidP="00147E9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E1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1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E1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72200" w:rsidRPr="00A1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рублей:</w:t>
      </w:r>
    </w:p>
    <w:p w:rsidR="00FF40B7" w:rsidRDefault="00FF40B7" w:rsidP="006F4D6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4D6F" w:rsidRPr="00A77769" w:rsidRDefault="006F4D6F" w:rsidP="006F4D6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Параметры </w:t>
      </w:r>
      <w:r w:rsidR="00884A64" w:rsidRPr="0042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доходов </w:t>
      </w:r>
      <w:r w:rsidRPr="0042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планового периода 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884A64"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884A64"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представле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к экспертизе проекта не изменятся.</w:t>
      </w:r>
    </w:p>
    <w:p w:rsidR="006C7EEE" w:rsidRPr="00C12A82" w:rsidRDefault="00A807CB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р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асход</w:t>
      </w: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</w:t>
      </w:r>
      <w:r w:rsidR="00B8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7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87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87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D767EE" w:rsidRDefault="00D767EE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Расходная часть бюджета 20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</w:t>
      </w:r>
      <w:r w:rsidR="00A15F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года увеличи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тся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4C3F3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6 958,1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тыс. рублей и с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ставит с учетом изменений </w:t>
      </w:r>
      <w:r w:rsidR="004C3F3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522 756,2</w:t>
      </w:r>
      <w:r w:rsidR="00A15F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 том числе:</w:t>
      </w:r>
    </w:p>
    <w:p w:rsidR="00813351" w:rsidRDefault="00813351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813351" w:rsidRDefault="00813351" w:rsidP="00813351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Общегосударственные вопросы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198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сокращения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произойдут на сумму</w:t>
      </w:r>
      <w:r w:rsidR="001F198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4,5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1F198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43 348,4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F198E" w:rsidRPr="001F198E" w:rsidRDefault="00FD62EA" w:rsidP="0081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FD62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01 04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«Функционирование Правительства РФ, высших исполнительных органов власти субъектов РФ, местных </w:t>
      </w:r>
      <w:r w:rsidR="001F19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администраций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F19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-200,0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(</w:t>
      </w:r>
      <w:r w:rsidR="001F19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-200,0</w:t>
      </w:r>
      <w:r w:rsidR="005522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r w:rsidR="005522A5" w:rsidRPr="005522A5">
        <w:t xml:space="preserve"> </w:t>
      </w:r>
      <w:r w:rsidR="001F198E" w:rsidRPr="001F198E">
        <w:rPr>
          <w:rFonts w:ascii="Times New Roman" w:hAnsi="Times New Roman" w:cs="Times New Roman"/>
          <w:sz w:val="24"/>
          <w:szCs w:val="24"/>
        </w:rPr>
        <w:t>сокращение а</w:t>
      </w:r>
      <w:r w:rsidR="001F198E" w:rsidRPr="001F198E">
        <w:rPr>
          <w:rFonts w:ascii="Times New Roman" w:hAnsi="Times New Roman" w:cs="Times New Roman"/>
          <w:sz w:val="24"/>
          <w:szCs w:val="24"/>
        </w:rPr>
        <w:t>д</w:t>
      </w:r>
      <w:r w:rsidR="001F198E" w:rsidRPr="001F198E">
        <w:rPr>
          <w:rFonts w:ascii="Times New Roman" w:hAnsi="Times New Roman" w:cs="Times New Roman"/>
          <w:sz w:val="24"/>
          <w:szCs w:val="24"/>
        </w:rPr>
        <w:t>ресной инвестиционной программы на ремонт здания Администрации Ленина,8)</w:t>
      </w:r>
    </w:p>
    <w:p w:rsidR="00813351" w:rsidRPr="0012564F" w:rsidRDefault="001F198E" w:rsidP="00813351">
      <w:pPr>
        <w:spacing w:after="0"/>
        <w:jc w:val="both"/>
        <w:rPr>
          <w:rFonts w:ascii="Times New Roman" w:eastAsia="Arial Unicode MS" w:hAnsi="Times New Roman" w:cs="Times New Roman"/>
          <w:color w:val="000000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3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13351"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</w:t>
      </w:r>
      <w:r w:rsidR="008133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11</w:t>
      </w:r>
      <w:r w:rsidR="00813351"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Резервные фонды</w:t>
      </w:r>
      <w:r w:rsidR="00813351"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813351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-234,0</w:t>
      </w:r>
      <w:r w:rsidR="008133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(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выделение денежных средств из резервн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 фонда 176,7 тыс. рублей на ввод штатной единицы смотрителя кладбища, </w:t>
      </w:r>
      <w:r w:rsidR="00265C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45,6 тыс. рублей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C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материальные затраты ЕДДС, 11,7 тыс. рублей на комиссию по делам несовершенн</w:t>
      </w:r>
      <w:r w:rsidR="00265C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265C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летних, административную комиссию</w:t>
      </w:r>
      <w:r w:rsidR="008133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265C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F646E1" w:rsidRDefault="00F646E1" w:rsidP="00D2153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6E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</w:t>
      </w:r>
      <w:r w:rsidR="00C451C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46E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01 13 </w:t>
      </w:r>
      <w:r w:rsidRPr="00F646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«Другие общегосударственные расходы»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="002C53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429,5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(</w:t>
      </w:r>
      <w:r w:rsidR="008E71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D246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  <w:r w:rsidR="008E71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76</w:t>
      </w:r>
      <w:r w:rsidR="00D246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8E71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</w:t>
      </w:r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</w:t>
      </w:r>
      <w:r w:rsidR="00D246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руб. на </w:t>
      </w:r>
      <w:r w:rsidR="008E71D9" w:rsidRPr="008E71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ввод штатной единицы смотрителя кладбища</w:t>
      </w:r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</w:t>
      </w:r>
      <w:r w:rsidR="008E71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195,0</w:t>
      </w:r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  <w:r w:rsidR="00D246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ремонт </w:t>
      </w:r>
      <w:r w:rsidR="008E71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гаражей Админ</w:t>
      </w:r>
      <w:r w:rsidR="008E71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="008E71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страции</w:t>
      </w:r>
      <w:r w:rsidR="00D246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</w:t>
      </w:r>
      <w:r w:rsidR="008E71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52,0</w:t>
      </w:r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  <w:r w:rsidR="008E71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ремонт квартиры №12 Микрорайон</w:t>
      </w:r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8E71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6, </w:t>
      </w:r>
      <w:r w:rsidR="00D246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1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-210,9</w:t>
      </w:r>
      <w:r w:rsidR="00002C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  <w:r w:rsidR="008E71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закупка товаров и услуг для государственных нужд</w:t>
      </w:r>
      <w:r w:rsidR="00002C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246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8E71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210,9</w:t>
      </w:r>
      <w:r w:rsidR="00D246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r w:rsidR="008E71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субсидии бюджетным учр</w:t>
      </w:r>
      <w:r w:rsidR="008E71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8E71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ждениям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6B6435" w:rsidRDefault="006B6435" w:rsidP="00D2153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B6435" w:rsidRPr="006B6435" w:rsidRDefault="006B6435" w:rsidP="00D21530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6B643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03</w:t>
      </w:r>
      <w:r w:rsidRPr="006B64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«Национальная безопасность и правоохранительная деятельность» увеличения произойдут на сумму </w:t>
      </w:r>
      <w:r w:rsidR="00CC4EF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45</w:t>
      </w:r>
      <w:r w:rsidRPr="006B64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,</w:t>
      </w:r>
      <w:r w:rsidR="00CC4EF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6B64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F646E1" w:rsidRDefault="006B6435" w:rsidP="00D2153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64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- 03 10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«Защита населения и территорий от ЧС» +</w:t>
      </w:r>
      <w:r w:rsidR="00CC4E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CC4E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  <w:r w:rsidR="00CC4E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материальные затраты ЕДДС.</w:t>
      </w:r>
    </w:p>
    <w:p w:rsidR="00DE14CB" w:rsidRDefault="00DE14CB" w:rsidP="00D2153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E14CB" w:rsidRDefault="00DE14CB" w:rsidP="00D21530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E14C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 разделу 04 «Национальная экономика» увеличения произойдут на 1 000,0 тыс. рублей:</w:t>
      </w:r>
    </w:p>
    <w:p w:rsidR="00DE14CB" w:rsidRPr="00DE14CB" w:rsidRDefault="00DE14CB" w:rsidP="00D21530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- 04 09 </w:t>
      </w:r>
      <w:r w:rsidRPr="00DE14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«Дорожное хозяйство»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+</w:t>
      </w:r>
      <w:r w:rsidRPr="00DE14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1 000,0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увеличение объема муниципального дорожного фонда за счет дополнительной дотации.</w:t>
      </w:r>
    </w:p>
    <w:p w:rsidR="00DE14CB" w:rsidRPr="00DE14CB" w:rsidRDefault="00DE14CB" w:rsidP="00D21530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71C9F" w:rsidRPr="00D21530" w:rsidRDefault="00E71C9F" w:rsidP="00E71C9F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Жилищно-коммунальное хозяйство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086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увеличения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произойдут на су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му </w:t>
      </w:r>
      <w:r w:rsidR="005D7E2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1 753,0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5D7E2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26 777,2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D7E24" w:rsidRDefault="00E71C9F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71C9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05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4C4E2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Коммунальное хозяйство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5D7E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2 800,0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(</w:t>
      </w:r>
      <w:r w:rsidR="004C4E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5D7E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300,0</w:t>
      </w:r>
      <w:r w:rsidR="004C4E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  <w:r w:rsidR="005D7E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перекладка газ</w:t>
      </w:r>
      <w:r w:rsidR="005D7E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5D7E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провода по адресу с. Троицкое, ул. Советская, 62 (ПСД +работы), +2 000,0 тыс. рублей приобретение и монтаж резервного котла в котельную с. Троицкое, ул. Л.Толстого,15</w:t>
      </w:r>
      <w:r w:rsidR="006B0D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за счет дополнительной дотации</w:t>
      </w:r>
      <w:r w:rsidR="005D7E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+700,0 тыс. рублей на обустройство площадок ТКО, -200,0 тыс. рублей на р</w:t>
      </w:r>
      <w:r w:rsidR="005D7E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5D7E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конструкцию сетей водоснабжения с. Троицкое). </w:t>
      </w:r>
      <w:proofErr w:type="gramEnd"/>
    </w:p>
    <w:p w:rsidR="000F7A4F" w:rsidRPr="000F7A4F" w:rsidRDefault="000F7A4F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F7A4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05 03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7A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«Благоустройство»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-747,0 тыс. рублей (сокращение средств 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софинансирвоание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программы «Развитие сельских территорий»)</w:t>
      </w:r>
    </w:p>
    <w:p w:rsidR="004C4E29" w:rsidRDefault="004C4E29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4E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05 05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«Другие вопросы в области ЖКХ» </w:t>
      </w:r>
      <w:r w:rsidR="005700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D202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300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,0 тыс. руб. </w:t>
      </w:r>
    </w:p>
    <w:p w:rsidR="00126BAB" w:rsidRDefault="00126BAB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26BAB" w:rsidRPr="00126BAB" w:rsidRDefault="00126BAB" w:rsidP="00126BA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07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«Образование»  увеличения произойдут на сумму </w:t>
      </w:r>
      <w:r w:rsidR="004A25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2 977,2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ставят с учетом изменений </w:t>
      </w:r>
      <w:r w:rsidR="004A25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355 001,4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126BAB" w:rsidRPr="00126BAB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- 07 01 «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4A25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300,0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(</w:t>
      </w:r>
      <w:r w:rsidR="00C25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4A25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300</w:t>
      </w:r>
      <w:r w:rsidR="00C25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,0 </w:t>
      </w:r>
      <w:r w:rsidR="004A25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материальные расходы по детским садам за счет увеличения собственных доходов</w:t>
      </w:r>
      <w:r w:rsid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126BAB" w:rsidRPr="00126BAB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07 02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«Общее образование» +</w:t>
      </w:r>
      <w:r w:rsidR="004A25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2 576,3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(</w:t>
      </w:r>
      <w:r w:rsidR="007969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4A25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2 000</w:t>
      </w:r>
      <w:r w:rsidR="007969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,0 тыс. руб. ремонт </w:t>
      </w:r>
      <w:r w:rsidR="004A25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здания МБОУ</w:t>
      </w:r>
      <w:r w:rsidR="007969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5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969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Беловская</w:t>
      </w:r>
      <w:proofErr w:type="spellEnd"/>
      <w:r w:rsidR="007969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4A25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="006B0D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за счет дополнительной дотации</w:t>
      </w:r>
      <w:r w:rsidR="007969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</w:t>
      </w:r>
      <w:r w:rsidR="004A25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180</w:t>
      </w:r>
      <w:r w:rsidR="007969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,0 тыс. руб. </w:t>
      </w:r>
      <w:r w:rsidR="004A25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капитальный ремонт спортзала МБОУ «Троицкая СОШ»</w:t>
      </w:r>
      <w:r w:rsidR="006B0D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за счет дополнительной дотации</w:t>
      </w:r>
      <w:r w:rsidR="004A25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+40,0 тыс. рублей реконструкция музея МБОУ «</w:t>
      </w:r>
      <w:proofErr w:type="spellStart"/>
      <w:r w:rsidR="004A25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Боровлянская</w:t>
      </w:r>
      <w:proofErr w:type="spellEnd"/>
      <w:r w:rsidR="004A25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="006B0D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за счет дополнительной дотации</w:t>
      </w:r>
      <w:r w:rsidR="004A25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333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+356,3 тыс. рублей материальные расходы на школы</w:t>
      </w:r>
      <w:r w:rsidR="006B0D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за счет увеличения собственных д</w:t>
      </w:r>
      <w:r w:rsidR="006B0D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6B0D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ходов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693F2D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07 03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«Дополнительное образование детей» +</w:t>
      </w:r>
      <w:r w:rsidR="004915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75</w:t>
      </w:r>
      <w:r w:rsidR="00ED1D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,0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4915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за счет увеличения со</w:t>
      </w:r>
      <w:r w:rsidR="004915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="004915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ственных доходов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693F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4915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50,0</w:t>
      </w:r>
      <w:r w:rsidR="00693F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r w:rsidR="004915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материальные доходы ДШИ, +25,0 тыс. рублей матер</w:t>
      </w:r>
      <w:r w:rsidR="004915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="004915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альные расходы ДЮЦ</w:t>
      </w:r>
      <w:r w:rsidR="00693F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4915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="00693F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1DCE" w:rsidRDefault="00ED1DCE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1DC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07 07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«Молодежная политика» +</w:t>
      </w:r>
      <w:r w:rsidR="00B951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,0</w:t>
      </w:r>
      <w:r w:rsidR="00A46F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1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рублей за счет увеличения собственных дох</w:t>
      </w:r>
      <w:r w:rsidR="00B951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B951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дов на приобретение формы для </w:t>
      </w:r>
      <w:proofErr w:type="spellStart"/>
      <w:r w:rsidR="00B951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Юнармии</w:t>
      </w:r>
      <w:proofErr w:type="spellEnd"/>
      <w:r w:rsidR="00B951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B9500F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950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07 09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B95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Другие вопросы в области образования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473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+</w:t>
      </w:r>
      <w:r w:rsidR="00B95128" w:rsidRPr="00047A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5,</w:t>
      </w:r>
      <w:r w:rsidR="00ED1DCE" w:rsidRPr="00ED1D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</w:t>
      </w:r>
      <w:r w:rsidR="0074733F" w:rsidRPr="007473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r w:rsidR="00047A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6F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047A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расходы на оплату труда КДН</w:t>
      </w:r>
      <w:r w:rsidR="00A46FD1" w:rsidRPr="00A46F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047A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FE034C" w:rsidRDefault="00FE034C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E034C" w:rsidRPr="00FE034C" w:rsidRDefault="00FE034C" w:rsidP="00126BA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E034C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08</w:t>
      </w:r>
      <w:r w:rsidRPr="00FE03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«Культура и кинематография» увеличения произойдут на </w:t>
      </w:r>
      <w:r w:rsidR="00BF45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1 202,5</w:t>
      </w:r>
      <w:r w:rsidRPr="00FE03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руб. и составят </w:t>
      </w:r>
      <w:r w:rsidR="00BF45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24 904,2</w:t>
      </w:r>
      <w:r w:rsidRPr="00FE03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руб.:</w:t>
      </w:r>
    </w:p>
    <w:p w:rsidR="00FE034C" w:rsidRPr="00FE034C" w:rsidRDefault="00FE034C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E03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08 01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«Культура» + </w:t>
      </w:r>
      <w:r w:rsidR="00966F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1 202,5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(</w:t>
      </w:r>
      <w:r w:rsidR="00966F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+202,0 тыс. рублей субсидия на господдержку лучших работников отрасли культуры, +68,7 тыс. рублей на ремонт кровли МБУК «ТМКЦ» с. Троицкое, ул. Комсомольская,16, +731,8 тыс. рублей межбюджетные тран</w:t>
      </w:r>
      <w:r w:rsidR="00966F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r w:rsidR="00966F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ферты в поселения, +200,0 тыс. рублей ремонт мемориала </w:t>
      </w:r>
      <w:proofErr w:type="spellStart"/>
      <w:r w:rsidR="00966F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966F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966F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роицкое</w:t>
      </w:r>
      <w:proofErr w:type="spellEnd"/>
      <w:r w:rsidR="00966F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).</w:t>
      </w:r>
    </w:p>
    <w:p w:rsidR="00126BAB" w:rsidRDefault="00126BAB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23F73" w:rsidRPr="00D21530" w:rsidRDefault="00223F73" w:rsidP="00223F73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 разделу </w:t>
      </w:r>
      <w:r w:rsid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Социальная политика</w:t>
      </w: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D66" w:rsidRPr="00860D6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сокращения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произойдут на сумму </w:t>
      </w:r>
      <w:r w:rsidR="00860D6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15,7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860D6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20 373,9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E45C5" w:rsidRDefault="009353EA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B2E" w:rsidRP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10</w:t>
      </w:r>
      <w:r w:rsidR="00223F73" w:rsidRP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3F73"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</w:t>
      </w:r>
      <w:r w:rsid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97B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Социальное обеспечение населения</w:t>
      </w:r>
      <w:r w:rsidR="00860D6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-15,7</w:t>
      </w:r>
      <w:r w:rsidR="00EA0D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097B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0D6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сокращение денежных средств из краевого бюджета по </w:t>
      </w:r>
      <w:r w:rsidR="00097B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МП обеспечение жильем молодых семей Троицкого ра</w:t>
      </w:r>
      <w:r w:rsidR="00097B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 w:rsidR="00097B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она</w:t>
      </w:r>
      <w:r w:rsidR="005E4A2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FE4709" w:rsidRDefault="00FE4709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59C6" w:rsidRPr="00330D1A" w:rsidRDefault="00781658" w:rsidP="00330D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7769">
        <w:rPr>
          <w:rFonts w:ascii="Times New Roman" w:hAnsi="Times New Roman" w:cs="Times New Roman"/>
          <w:sz w:val="24"/>
          <w:szCs w:val="24"/>
        </w:rPr>
        <w:t>араметры расходной части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A77769">
        <w:rPr>
          <w:rFonts w:ascii="Times New Roman" w:hAnsi="Times New Roman" w:cs="Times New Roman"/>
          <w:sz w:val="24"/>
          <w:szCs w:val="24"/>
        </w:rPr>
        <w:t>ого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A77769">
        <w:rPr>
          <w:rFonts w:ascii="Times New Roman" w:hAnsi="Times New Roman" w:cs="Times New Roman"/>
          <w:sz w:val="24"/>
          <w:szCs w:val="24"/>
        </w:rPr>
        <w:t>а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202</w:t>
      </w:r>
      <w:r w:rsidR="005E4A2A">
        <w:rPr>
          <w:rFonts w:ascii="Times New Roman" w:hAnsi="Times New Roman" w:cs="Times New Roman"/>
          <w:sz w:val="24"/>
          <w:szCs w:val="24"/>
        </w:rPr>
        <w:t>1</w:t>
      </w:r>
      <w:r w:rsidR="004B59C6" w:rsidRPr="00330D1A">
        <w:rPr>
          <w:rFonts w:ascii="Times New Roman" w:hAnsi="Times New Roman" w:cs="Times New Roman"/>
          <w:sz w:val="24"/>
          <w:szCs w:val="24"/>
        </w:rPr>
        <w:t>-202</w:t>
      </w:r>
      <w:r w:rsidR="005E4A2A">
        <w:rPr>
          <w:rFonts w:ascii="Times New Roman" w:hAnsi="Times New Roman" w:cs="Times New Roman"/>
          <w:sz w:val="24"/>
          <w:szCs w:val="24"/>
        </w:rPr>
        <w:t>2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представленн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к экспертизе проекта </w:t>
      </w:r>
      <w:r w:rsidR="004B59C6" w:rsidRPr="00330D1A">
        <w:rPr>
          <w:rFonts w:ascii="Times New Roman" w:hAnsi="Times New Roman" w:cs="Times New Roman"/>
          <w:sz w:val="24"/>
          <w:szCs w:val="24"/>
        </w:rPr>
        <w:t>не изменятся.</w:t>
      </w:r>
    </w:p>
    <w:p w:rsidR="007460D4" w:rsidRPr="00902979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рования</w:t>
      </w:r>
    </w:p>
    <w:p w:rsidR="007460D4" w:rsidRPr="00902979" w:rsidRDefault="002C2F99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внесением  изменений дефицит бюджета 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Троицкого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4F3EDC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A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A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кратится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43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3 510,1</w:t>
      </w:r>
      <w:r w:rsidR="0078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A11A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сос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8 045,1</w:t>
      </w:r>
      <w:bookmarkStart w:id="0" w:name="_GoBack"/>
      <w:bookmarkEnd w:id="0"/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внутреннего ф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нансового дефицита </w:t>
      </w:r>
      <w:proofErr w:type="gramStart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на счетах по учету средств бюд</w:t>
      </w:r>
      <w:r w:rsidR="005E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 на начало финансового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дефицита соответствует ограничениям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тьи 92.1 п. 3 Бюджетного кодекса Российской Федерации. </w:t>
      </w:r>
    </w:p>
    <w:p w:rsidR="005E4A2A" w:rsidRDefault="007460D4" w:rsidP="009029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6C7EEE" w:rsidRPr="00902979" w:rsidRDefault="006C7EEE" w:rsidP="005E4A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93443D" w:rsidRPr="0090297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экспертизы проекта решения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Троицкого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«О внесении изменений в решение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 муниципальный район Алта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края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434D4D"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41E4F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отсутствуют.</w:t>
      </w:r>
    </w:p>
    <w:p w:rsidR="00AC0A59" w:rsidRPr="0090297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902979">
        <w:rPr>
          <w:b/>
          <w:sz w:val="24"/>
          <w:szCs w:val="24"/>
        </w:rPr>
        <w:t>Предложения:</w:t>
      </w:r>
    </w:p>
    <w:p w:rsidR="00341E4F" w:rsidRPr="009709AF" w:rsidRDefault="00AC0A59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4F">
        <w:rPr>
          <w:rFonts w:ascii="Times New Roman" w:hAnsi="Times New Roman" w:cs="Times New Roman"/>
          <w:sz w:val="24"/>
          <w:szCs w:val="24"/>
        </w:rPr>
        <w:t>Контрольно-счетн</w:t>
      </w:r>
      <w:r w:rsidR="009067E0" w:rsidRPr="00341E4F">
        <w:rPr>
          <w:rFonts w:ascii="Times New Roman" w:hAnsi="Times New Roman" w:cs="Times New Roman"/>
          <w:sz w:val="24"/>
          <w:szCs w:val="24"/>
        </w:rPr>
        <w:t>ый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>орган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Троицкого </w:t>
      </w:r>
      <w:r w:rsidRPr="00341E4F">
        <w:rPr>
          <w:rFonts w:ascii="Times New Roman" w:hAnsi="Times New Roman" w:cs="Times New Roman"/>
          <w:sz w:val="24"/>
          <w:szCs w:val="24"/>
        </w:rPr>
        <w:t>района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341E4F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9067E0" w:rsidRPr="00341E4F">
        <w:rPr>
          <w:rFonts w:ascii="Times New Roman" w:hAnsi="Times New Roman" w:cs="Times New Roman"/>
          <w:sz w:val="24"/>
          <w:szCs w:val="24"/>
        </w:rPr>
        <w:t>Трои</w:t>
      </w:r>
      <w:r w:rsidR="009067E0" w:rsidRPr="00341E4F">
        <w:rPr>
          <w:rFonts w:ascii="Times New Roman" w:hAnsi="Times New Roman" w:cs="Times New Roman"/>
          <w:sz w:val="24"/>
          <w:szCs w:val="24"/>
        </w:rPr>
        <w:t>ц</w:t>
      </w:r>
      <w:r w:rsidR="009067E0" w:rsidRPr="00341E4F">
        <w:rPr>
          <w:rFonts w:ascii="Times New Roman" w:hAnsi="Times New Roman" w:cs="Times New Roman"/>
          <w:sz w:val="24"/>
          <w:szCs w:val="24"/>
        </w:rPr>
        <w:t>кому</w:t>
      </w:r>
      <w:r w:rsidRPr="00341E4F">
        <w:rPr>
          <w:rFonts w:ascii="Times New Roman" w:hAnsi="Times New Roman" w:cs="Times New Roman"/>
          <w:sz w:val="24"/>
          <w:szCs w:val="24"/>
        </w:rPr>
        <w:t xml:space="preserve"> районному Совету депутатов принять решение «О внесении изменений </w:t>
      </w:r>
      <w:r w:rsidR="009067E0" w:rsidRPr="00341E4F">
        <w:rPr>
          <w:rFonts w:ascii="Times New Roman" w:hAnsi="Times New Roman" w:cs="Times New Roman"/>
          <w:sz w:val="24"/>
          <w:szCs w:val="24"/>
        </w:rPr>
        <w:t>в р</w:t>
      </w:r>
      <w:r w:rsidRPr="00341E4F">
        <w:rPr>
          <w:rFonts w:ascii="Times New Roman" w:hAnsi="Times New Roman" w:cs="Times New Roman"/>
          <w:sz w:val="24"/>
          <w:szCs w:val="24"/>
        </w:rPr>
        <w:t xml:space="preserve">ешение  районного Совета депутатов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 образования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район Алтайского края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0D4" w:rsidRPr="00902979" w:rsidRDefault="007460D4" w:rsidP="00434D4D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C7EEE" w:rsidRPr="00902979" w:rsidRDefault="006C7EEE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7E0" w:rsidRDefault="009067E0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EEE" w:rsidRPr="009067E0" w:rsidRDefault="00C003AC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редседатель Контрольно-счетн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органа</w:t>
      </w:r>
    </w:p>
    <w:p w:rsidR="006C7EEE" w:rsidRPr="009067E0" w:rsidRDefault="009067E0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Троицкого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Алтайского края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 </w:t>
      </w:r>
      <w:r w:rsidR="00902979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13B51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 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О.И. Присяжных</w:t>
      </w:r>
    </w:p>
    <w:sectPr w:rsidR="006C7EEE" w:rsidRPr="0090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E2E5D08"/>
    <w:multiLevelType w:val="hybridMultilevel"/>
    <w:tmpl w:val="186AF9F6"/>
    <w:lvl w:ilvl="0" w:tplc="6416F89C">
      <w:start w:val="5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02CA2"/>
    <w:rsid w:val="0001214A"/>
    <w:rsid w:val="00012D56"/>
    <w:rsid w:val="00015360"/>
    <w:rsid w:val="000212EA"/>
    <w:rsid w:val="0002152F"/>
    <w:rsid w:val="000230E7"/>
    <w:rsid w:val="000333DA"/>
    <w:rsid w:val="00036E47"/>
    <w:rsid w:val="00046161"/>
    <w:rsid w:val="00047A43"/>
    <w:rsid w:val="00050795"/>
    <w:rsid w:val="00057527"/>
    <w:rsid w:val="00070B45"/>
    <w:rsid w:val="00074543"/>
    <w:rsid w:val="00077A0C"/>
    <w:rsid w:val="00081F95"/>
    <w:rsid w:val="00082BD6"/>
    <w:rsid w:val="00097B2E"/>
    <w:rsid w:val="000B0502"/>
    <w:rsid w:val="000B10CE"/>
    <w:rsid w:val="000B256B"/>
    <w:rsid w:val="000B3D9A"/>
    <w:rsid w:val="000B682E"/>
    <w:rsid w:val="000C1EC2"/>
    <w:rsid w:val="000D2D13"/>
    <w:rsid w:val="000D62DB"/>
    <w:rsid w:val="000E05FB"/>
    <w:rsid w:val="000E40D4"/>
    <w:rsid w:val="000E65DD"/>
    <w:rsid w:val="000F45DF"/>
    <w:rsid w:val="000F7A4F"/>
    <w:rsid w:val="00101552"/>
    <w:rsid w:val="00107378"/>
    <w:rsid w:val="00111EE5"/>
    <w:rsid w:val="00114623"/>
    <w:rsid w:val="00116823"/>
    <w:rsid w:val="00117185"/>
    <w:rsid w:val="00122C18"/>
    <w:rsid w:val="0012564F"/>
    <w:rsid w:val="0012604C"/>
    <w:rsid w:val="00126BAB"/>
    <w:rsid w:val="001377E9"/>
    <w:rsid w:val="00147E95"/>
    <w:rsid w:val="001513A2"/>
    <w:rsid w:val="00154A86"/>
    <w:rsid w:val="001554D9"/>
    <w:rsid w:val="00156104"/>
    <w:rsid w:val="00163BAF"/>
    <w:rsid w:val="00166360"/>
    <w:rsid w:val="0017091A"/>
    <w:rsid w:val="00171066"/>
    <w:rsid w:val="00183A63"/>
    <w:rsid w:val="00185FEA"/>
    <w:rsid w:val="00197D0C"/>
    <w:rsid w:val="001B41CA"/>
    <w:rsid w:val="001B4555"/>
    <w:rsid w:val="001C68AA"/>
    <w:rsid w:val="001D1700"/>
    <w:rsid w:val="001D643D"/>
    <w:rsid w:val="001E04BB"/>
    <w:rsid w:val="001E1877"/>
    <w:rsid w:val="001E1CB4"/>
    <w:rsid w:val="001E1F2A"/>
    <w:rsid w:val="001E7193"/>
    <w:rsid w:val="001F198E"/>
    <w:rsid w:val="001F2761"/>
    <w:rsid w:val="00211446"/>
    <w:rsid w:val="0021494E"/>
    <w:rsid w:val="00221F10"/>
    <w:rsid w:val="00223F73"/>
    <w:rsid w:val="00225FC4"/>
    <w:rsid w:val="002322B3"/>
    <w:rsid w:val="0023489F"/>
    <w:rsid w:val="00237AE9"/>
    <w:rsid w:val="00240F01"/>
    <w:rsid w:val="00242AC1"/>
    <w:rsid w:val="00245CA5"/>
    <w:rsid w:val="00261BF7"/>
    <w:rsid w:val="00263316"/>
    <w:rsid w:val="00265C48"/>
    <w:rsid w:val="00270B08"/>
    <w:rsid w:val="00272200"/>
    <w:rsid w:val="00272D14"/>
    <w:rsid w:val="00281A0E"/>
    <w:rsid w:val="00284A62"/>
    <w:rsid w:val="002B0C3A"/>
    <w:rsid w:val="002B1247"/>
    <w:rsid w:val="002C1688"/>
    <w:rsid w:val="002C2F99"/>
    <w:rsid w:val="002C53D0"/>
    <w:rsid w:val="002C654E"/>
    <w:rsid w:val="002E0084"/>
    <w:rsid w:val="002F2587"/>
    <w:rsid w:val="002F41B2"/>
    <w:rsid w:val="002F7111"/>
    <w:rsid w:val="002F7BA7"/>
    <w:rsid w:val="0030259D"/>
    <w:rsid w:val="003122CC"/>
    <w:rsid w:val="0031351E"/>
    <w:rsid w:val="003175B8"/>
    <w:rsid w:val="00321D91"/>
    <w:rsid w:val="00330D1A"/>
    <w:rsid w:val="003343AC"/>
    <w:rsid w:val="0033637B"/>
    <w:rsid w:val="00341E4F"/>
    <w:rsid w:val="00341EE0"/>
    <w:rsid w:val="00356BFD"/>
    <w:rsid w:val="00361290"/>
    <w:rsid w:val="0036556F"/>
    <w:rsid w:val="00365615"/>
    <w:rsid w:val="00367F91"/>
    <w:rsid w:val="00381A55"/>
    <w:rsid w:val="003870B4"/>
    <w:rsid w:val="003B3536"/>
    <w:rsid w:val="003C278F"/>
    <w:rsid w:val="003C2B11"/>
    <w:rsid w:val="003C5FB7"/>
    <w:rsid w:val="003D04B4"/>
    <w:rsid w:val="003D0ADC"/>
    <w:rsid w:val="003D31D9"/>
    <w:rsid w:val="003E5A44"/>
    <w:rsid w:val="003E7125"/>
    <w:rsid w:val="003F035D"/>
    <w:rsid w:val="003F0954"/>
    <w:rsid w:val="003F0F4D"/>
    <w:rsid w:val="003F2270"/>
    <w:rsid w:val="00412D15"/>
    <w:rsid w:val="00417E40"/>
    <w:rsid w:val="00427DCA"/>
    <w:rsid w:val="00427FF3"/>
    <w:rsid w:val="004302E3"/>
    <w:rsid w:val="004309B5"/>
    <w:rsid w:val="00434D4D"/>
    <w:rsid w:val="0044217F"/>
    <w:rsid w:val="004463CB"/>
    <w:rsid w:val="00454379"/>
    <w:rsid w:val="004742BE"/>
    <w:rsid w:val="00480C08"/>
    <w:rsid w:val="00483F64"/>
    <w:rsid w:val="00491545"/>
    <w:rsid w:val="004A0AF5"/>
    <w:rsid w:val="004A25BA"/>
    <w:rsid w:val="004A3262"/>
    <w:rsid w:val="004B59C6"/>
    <w:rsid w:val="004C2007"/>
    <w:rsid w:val="004C327B"/>
    <w:rsid w:val="004C36B0"/>
    <w:rsid w:val="004C3F39"/>
    <w:rsid w:val="004C4E29"/>
    <w:rsid w:val="004F06F7"/>
    <w:rsid w:val="004F3EDC"/>
    <w:rsid w:val="00502314"/>
    <w:rsid w:val="005042FC"/>
    <w:rsid w:val="005367B9"/>
    <w:rsid w:val="00542993"/>
    <w:rsid w:val="005456E3"/>
    <w:rsid w:val="00551AD6"/>
    <w:rsid w:val="005522A5"/>
    <w:rsid w:val="00555C14"/>
    <w:rsid w:val="00562C93"/>
    <w:rsid w:val="005632FD"/>
    <w:rsid w:val="00564829"/>
    <w:rsid w:val="005700B4"/>
    <w:rsid w:val="00572206"/>
    <w:rsid w:val="005727EC"/>
    <w:rsid w:val="00587E08"/>
    <w:rsid w:val="0059271C"/>
    <w:rsid w:val="00593871"/>
    <w:rsid w:val="005A200E"/>
    <w:rsid w:val="005B0431"/>
    <w:rsid w:val="005B0A38"/>
    <w:rsid w:val="005B0B7D"/>
    <w:rsid w:val="005B2533"/>
    <w:rsid w:val="005C4B99"/>
    <w:rsid w:val="005D4B01"/>
    <w:rsid w:val="005D7E24"/>
    <w:rsid w:val="005E1A20"/>
    <w:rsid w:val="005E4A2A"/>
    <w:rsid w:val="00606EC7"/>
    <w:rsid w:val="00610391"/>
    <w:rsid w:val="00612309"/>
    <w:rsid w:val="00614DC0"/>
    <w:rsid w:val="006214CB"/>
    <w:rsid w:val="006412F8"/>
    <w:rsid w:val="00647C45"/>
    <w:rsid w:val="006567A4"/>
    <w:rsid w:val="0067275C"/>
    <w:rsid w:val="00680D00"/>
    <w:rsid w:val="00693F2D"/>
    <w:rsid w:val="006A36B9"/>
    <w:rsid w:val="006A556E"/>
    <w:rsid w:val="006A5ACD"/>
    <w:rsid w:val="006B0D51"/>
    <w:rsid w:val="006B6435"/>
    <w:rsid w:val="006C31F2"/>
    <w:rsid w:val="006C78E1"/>
    <w:rsid w:val="006C7EEE"/>
    <w:rsid w:val="006D0872"/>
    <w:rsid w:val="006E146C"/>
    <w:rsid w:val="006E1D34"/>
    <w:rsid w:val="006E2D47"/>
    <w:rsid w:val="006F3897"/>
    <w:rsid w:val="006F4D6F"/>
    <w:rsid w:val="00707695"/>
    <w:rsid w:val="00711307"/>
    <w:rsid w:val="007166EC"/>
    <w:rsid w:val="0071760C"/>
    <w:rsid w:val="00724293"/>
    <w:rsid w:val="00725AEB"/>
    <w:rsid w:val="00730863"/>
    <w:rsid w:val="00744A2F"/>
    <w:rsid w:val="007460D4"/>
    <w:rsid w:val="0074733F"/>
    <w:rsid w:val="00760E12"/>
    <w:rsid w:val="00763230"/>
    <w:rsid w:val="0076513D"/>
    <w:rsid w:val="00781658"/>
    <w:rsid w:val="00784FA2"/>
    <w:rsid w:val="007969CF"/>
    <w:rsid w:val="007970F0"/>
    <w:rsid w:val="00797F58"/>
    <w:rsid w:val="007B01CE"/>
    <w:rsid w:val="007B09C9"/>
    <w:rsid w:val="007B3ED2"/>
    <w:rsid w:val="007B59D0"/>
    <w:rsid w:val="007B79BE"/>
    <w:rsid w:val="007C163B"/>
    <w:rsid w:val="007C2EBA"/>
    <w:rsid w:val="007C5827"/>
    <w:rsid w:val="007D5617"/>
    <w:rsid w:val="007E0622"/>
    <w:rsid w:val="007E17B5"/>
    <w:rsid w:val="007F5583"/>
    <w:rsid w:val="00813351"/>
    <w:rsid w:val="0082145D"/>
    <w:rsid w:val="0082320D"/>
    <w:rsid w:val="00824837"/>
    <w:rsid w:val="00825172"/>
    <w:rsid w:val="00833870"/>
    <w:rsid w:val="0083447B"/>
    <w:rsid w:val="0083539E"/>
    <w:rsid w:val="0083605C"/>
    <w:rsid w:val="00843D8C"/>
    <w:rsid w:val="0085466D"/>
    <w:rsid w:val="00860D66"/>
    <w:rsid w:val="0086671F"/>
    <w:rsid w:val="008703D3"/>
    <w:rsid w:val="008756BC"/>
    <w:rsid w:val="00884A64"/>
    <w:rsid w:val="008945EA"/>
    <w:rsid w:val="00895B3F"/>
    <w:rsid w:val="008A008D"/>
    <w:rsid w:val="008A38E3"/>
    <w:rsid w:val="008A4AF9"/>
    <w:rsid w:val="008A78B6"/>
    <w:rsid w:val="008D1EB8"/>
    <w:rsid w:val="008E71D9"/>
    <w:rsid w:val="0090127B"/>
    <w:rsid w:val="009027DA"/>
    <w:rsid w:val="00902979"/>
    <w:rsid w:val="009067E0"/>
    <w:rsid w:val="00914167"/>
    <w:rsid w:val="00923CD6"/>
    <w:rsid w:val="00923DE2"/>
    <w:rsid w:val="00924235"/>
    <w:rsid w:val="009339D7"/>
    <w:rsid w:val="0093417F"/>
    <w:rsid w:val="0093443D"/>
    <w:rsid w:val="00935347"/>
    <w:rsid w:val="009353EA"/>
    <w:rsid w:val="00941C44"/>
    <w:rsid w:val="00944266"/>
    <w:rsid w:val="00945B74"/>
    <w:rsid w:val="00951231"/>
    <w:rsid w:val="00953A08"/>
    <w:rsid w:val="0096427A"/>
    <w:rsid w:val="00966FB0"/>
    <w:rsid w:val="009709AF"/>
    <w:rsid w:val="0097495D"/>
    <w:rsid w:val="00983692"/>
    <w:rsid w:val="009A3734"/>
    <w:rsid w:val="009A5E2B"/>
    <w:rsid w:val="009C24CF"/>
    <w:rsid w:val="009C29B2"/>
    <w:rsid w:val="009D01C1"/>
    <w:rsid w:val="009D33A8"/>
    <w:rsid w:val="009D3EF7"/>
    <w:rsid w:val="009D6CC1"/>
    <w:rsid w:val="009D6D19"/>
    <w:rsid w:val="009E0425"/>
    <w:rsid w:val="009E17C2"/>
    <w:rsid w:val="009E184B"/>
    <w:rsid w:val="009E46F8"/>
    <w:rsid w:val="009E7B15"/>
    <w:rsid w:val="009F57FC"/>
    <w:rsid w:val="00A006FB"/>
    <w:rsid w:val="00A0562B"/>
    <w:rsid w:val="00A06025"/>
    <w:rsid w:val="00A11A02"/>
    <w:rsid w:val="00A15F1D"/>
    <w:rsid w:val="00A17CE9"/>
    <w:rsid w:val="00A211C9"/>
    <w:rsid w:val="00A27B28"/>
    <w:rsid w:val="00A36FBE"/>
    <w:rsid w:val="00A46FD1"/>
    <w:rsid w:val="00A63435"/>
    <w:rsid w:val="00A71059"/>
    <w:rsid w:val="00A71385"/>
    <w:rsid w:val="00A73466"/>
    <w:rsid w:val="00A761C6"/>
    <w:rsid w:val="00A7642C"/>
    <w:rsid w:val="00A77769"/>
    <w:rsid w:val="00A807CB"/>
    <w:rsid w:val="00A9405D"/>
    <w:rsid w:val="00AA3B61"/>
    <w:rsid w:val="00AB2D30"/>
    <w:rsid w:val="00AB6F9E"/>
    <w:rsid w:val="00AC0A59"/>
    <w:rsid w:val="00AC2C9D"/>
    <w:rsid w:val="00AC7B1F"/>
    <w:rsid w:val="00AD1B65"/>
    <w:rsid w:val="00AD7BFB"/>
    <w:rsid w:val="00AE1301"/>
    <w:rsid w:val="00AE3C02"/>
    <w:rsid w:val="00AE56D8"/>
    <w:rsid w:val="00B06B3C"/>
    <w:rsid w:val="00B13B51"/>
    <w:rsid w:val="00B14406"/>
    <w:rsid w:val="00B14D3C"/>
    <w:rsid w:val="00B22C2A"/>
    <w:rsid w:val="00B329EA"/>
    <w:rsid w:val="00B461AC"/>
    <w:rsid w:val="00B500E1"/>
    <w:rsid w:val="00B659CA"/>
    <w:rsid w:val="00B7390E"/>
    <w:rsid w:val="00B849CF"/>
    <w:rsid w:val="00B905CB"/>
    <w:rsid w:val="00B94D51"/>
    <w:rsid w:val="00B9500F"/>
    <w:rsid w:val="00B95128"/>
    <w:rsid w:val="00BA3705"/>
    <w:rsid w:val="00BA4FA7"/>
    <w:rsid w:val="00BA606B"/>
    <w:rsid w:val="00BB141F"/>
    <w:rsid w:val="00BB39CE"/>
    <w:rsid w:val="00BC48AE"/>
    <w:rsid w:val="00BD02BA"/>
    <w:rsid w:val="00BD385F"/>
    <w:rsid w:val="00BE11AC"/>
    <w:rsid w:val="00BE7FA5"/>
    <w:rsid w:val="00BF1AF1"/>
    <w:rsid w:val="00BF36E4"/>
    <w:rsid w:val="00BF4574"/>
    <w:rsid w:val="00C003AC"/>
    <w:rsid w:val="00C0451D"/>
    <w:rsid w:val="00C04C78"/>
    <w:rsid w:val="00C12155"/>
    <w:rsid w:val="00C129FE"/>
    <w:rsid w:val="00C12A82"/>
    <w:rsid w:val="00C12FEC"/>
    <w:rsid w:val="00C134D6"/>
    <w:rsid w:val="00C145F6"/>
    <w:rsid w:val="00C16607"/>
    <w:rsid w:val="00C211AD"/>
    <w:rsid w:val="00C227EE"/>
    <w:rsid w:val="00C22EEF"/>
    <w:rsid w:val="00C25AA4"/>
    <w:rsid w:val="00C34BC3"/>
    <w:rsid w:val="00C37A28"/>
    <w:rsid w:val="00C37FD2"/>
    <w:rsid w:val="00C451CA"/>
    <w:rsid w:val="00C46902"/>
    <w:rsid w:val="00C51BB2"/>
    <w:rsid w:val="00C563AB"/>
    <w:rsid w:val="00C56C9F"/>
    <w:rsid w:val="00C577D5"/>
    <w:rsid w:val="00C71F7D"/>
    <w:rsid w:val="00C81254"/>
    <w:rsid w:val="00C93ECA"/>
    <w:rsid w:val="00CA1942"/>
    <w:rsid w:val="00CA6B67"/>
    <w:rsid w:val="00CA74BC"/>
    <w:rsid w:val="00CB4B04"/>
    <w:rsid w:val="00CB5D6B"/>
    <w:rsid w:val="00CC4EF1"/>
    <w:rsid w:val="00CC63A7"/>
    <w:rsid w:val="00CC77BF"/>
    <w:rsid w:val="00CD7FEC"/>
    <w:rsid w:val="00CE3EE3"/>
    <w:rsid w:val="00CE72E7"/>
    <w:rsid w:val="00CE74F8"/>
    <w:rsid w:val="00CF3A76"/>
    <w:rsid w:val="00CF4F36"/>
    <w:rsid w:val="00CF7FCD"/>
    <w:rsid w:val="00D0594D"/>
    <w:rsid w:val="00D06EDA"/>
    <w:rsid w:val="00D108AF"/>
    <w:rsid w:val="00D11505"/>
    <w:rsid w:val="00D15ACF"/>
    <w:rsid w:val="00D17581"/>
    <w:rsid w:val="00D20239"/>
    <w:rsid w:val="00D21530"/>
    <w:rsid w:val="00D246AD"/>
    <w:rsid w:val="00D36E11"/>
    <w:rsid w:val="00D37252"/>
    <w:rsid w:val="00D374FE"/>
    <w:rsid w:val="00D41082"/>
    <w:rsid w:val="00D444BA"/>
    <w:rsid w:val="00D54396"/>
    <w:rsid w:val="00D6126F"/>
    <w:rsid w:val="00D64073"/>
    <w:rsid w:val="00D66CBE"/>
    <w:rsid w:val="00D66F15"/>
    <w:rsid w:val="00D72B31"/>
    <w:rsid w:val="00D767EE"/>
    <w:rsid w:val="00D77C6E"/>
    <w:rsid w:val="00D836E0"/>
    <w:rsid w:val="00D87452"/>
    <w:rsid w:val="00D914F3"/>
    <w:rsid w:val="00D91AAF"/>
    <w:rsid w:val="00D95D2F"/>
    <w:rsid w:val="00D97F26"/>
    <w:rsid w:val="00DA7493"/>
    <w:rsid w:val="00DB56EC"/>
    <w:rsid w:val="00DC2779"/>
    <w:rsid w:val="00DC38DD"/>
    <w:rsid w:val="00DC628B"/>
    <w:rsid w:val="00DD50E5"/>
    <w:rsid w:val="00DD510C"/>
    <w:rsid w:val="00DE14CB"/>
    <w:rsid w:val="00DE2FC3"/>
    <w:rsid w:val="00DE69FC"/>
    <w:rsid w:val="00DE7969"/>
    <w:rsid w:val="00DE7FCB"/>
    <w:rsid w:val="00DF1BEB"/>
    <w:rsid w:val="00DF7F53"/>
    <w:rsid w:val="00E00976"/>
    <w:rsid w:val="00E11186"/>
    <w:rsid w:val="00E17B87"/>
    <w:rsid w:val="00E4339E"/>
    <w:rsid w:val="00E4384E"/>
    <w:rsid w:val="00E54424"/>
    <w:rsid w:val="00E60D26"/>
    <w:rsid w:val="00E6124C"/>
    <w:rsid w:val="00E61788"/>
    <w:rsid w:val="00E62804"/>
    <w:rsid w:val="00E62FA7"/>
    <w:rsid w:val="00E71C9F"/>
    <w:rsid w:val="00E726C1"/>
    <w:rsid w:val="00E75A03"/>
    <w:rsid w:val="00E82B97"/>
    <w:rsid w:val="00EA0D9B"/>
    <w:rsid w:val="00EA6F5D"/>
    <w:rsid w:val="00EC236B"/>
    <w:rsid w:val="00EC5541"/>
    <w:rsid w:val="00EC79C0"/>
    <w:rsid w:val="00ED1DCE"/>
    <w:rsid w:val="00ED1FE7"/>
    <w:rsid w:val="00ED3C6E"/>
    <w:rsid w:val="00EE45C5"/>
    <w:rsid w:val="00EE5594"/>
    <w:rsid w:val="00EE7935"/>
    <w:rsid w:val="00F05A1E"/>
    <w:rsid w:val="00F10FBE"/>
    <w:rsid w:val="00F112D7"/>
    <w:rsid w:val="00F1458B"/>
    <w:rsid w:val="00F168A7"/>
    <w:rsid w:val="00F22830"/>
    <w:rsid w:val="00F2338D"/>
    <w:rsid w:val="00F25C07"/>
    <w:rsid w:val="00F611CD"/>
    <w:rsid w:val="00F62A20"/>
    <w:rsid w:val="00F646E1"/>
    <w:rsid w:val="00F7179D"/>
    <w:rsid w:val="00F91F8E"/>
    <w:rsid w:val="00F9456E"/>
    <w:rsid w:val="00FA6A06"/>
    <w:rsid w:val="00FB3B20"/>
    <w:rsid w:val="00FC3263"/>
    <w:rsid w:val="00FC5C60"/>
    <w:rsid w:val="00FD2031"/>
    <w:rsid w:val="00FD2243"/>
    <w:rsid w:val="00FD3550"/>
    <w:rsid w:val="00FD62EA"/>
    <w:rsid w:val="00FE034C"/>
    <w:rsid w:val="00FE4709"/>
    <w:rsid w:val="00FE7EC9"/>
    <w:rsid w:val="00FF08D9"/>
    <w:rsid w:val="00FF40B7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00E6-0763-4BA5-B3ED-1D8030B2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Ольга</cp:lastModifiedBy>
  <cp:revision>464</cp:revision>
  <cp:lastPrinted>2020-05-12T09:06:00Z</cp:lastPrinted>
  <dcterms:created xsi:type="dcterms:W3CDTF">2018-05-18T12:45:00Z</dcterms:created>
  <dcterms:modified xsi:type="dcterms:W3CDTF">2021-05-17T08:18:00Z</dcterms:modified>
</cp:coreProperties>
</file>